
<file path=[Content_Types].xml><?xml version="1.0" encoding="utf-8"?>
<Types xmlns="http://schemas.openxmlformats.org/package/2006/content-types">
  <Default Extension="jpg" ContentType="application/octet-stream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Default Table"/>
        <w:tblCellMar>
          <w:top w:w="0" w:type="dxa"/>
          <w:left w:w="99" w:type="dxa"/>
          <w:right w:w="99" w:type="dxa"/>
          <w:bottom w:w="0" w:type="dxa"/>
        </w:tblCellMar>
        <w:tblW w:w="13995" w:type="dxa"/>
        <w:tblLook w:val="0000"/>
      </w:tblPr>
      <w:tblGrid>
        <w:gridCol w:w="2830"/>
        <w:gridCol w:w="5283"/>
        <w:gridCol w:w="5882"/>
      </w:tblGrid>
      <w:tr>
        <w:tc>
          <w:tcPr>
            <w:tcW w:w="13995" w:type="dxa"/>
            <w:tcMar>
              <w:left w:w="99" w:type="dxa"/>
              <w:right w:w="99" w:type="dxa"/>
              <w:top w:w="0" w:type="dxa"/>
              <w:bottom w:w="0" w:type="dxa"/>
            </w:tcMa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DD9C3" w:fill="FFFFFF"/>
          </w:tcPr>
          <w:p>
            <w:pPr>
              <w:pStyle w:val="Para0"/>
              <w:spacing w:line="240" w:lineRule="auto" w:before="240" w:after="160"/>
              <w:ind w:left="360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WEST COAST SPATIAL DEVELOPMENT INITIATIVE</w:t>
            </w:r>
          </w:p>
          <w:p>
            <w:pPr>
              <w:pStyle w:val="Para0"/>
              <w:spacing w:line="240" w:lineRule="auto" w:before="240" w:after="160"/>
              <w:ind w:left="360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A case study for Geography learners, 2018</w:t>
            </w:r>
          </w:p>
        </w:tc>
      </w:tr>
      <w:tr>
        <w:tc>
          <w:tcPr>
            <w:tcW w:w="2830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What is a Spatial Development </w:t>
            </w:r>
            <w:r>
              <w:rPr>
                <w:rStyle w:val="Character1"/>
                <w:sz w:val="22"/>
                <w:szCs w:val="22"/>
              </w:rPr>
              <w:t>Initiative?</w:t>
            </w:r>
          </w:p>
        </w:tc>
        <w:tc>
          <w:tcPr>
            <w:tcW w:w="5283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Abbreviated as SDI</w:t>
            </w:r>
          </w:p>
          <w:p>
            <w:pPr>
              <w:pStyle w:val="a3"/>
              <w:numPr>
                <w:ilvl w:val="0"/>
                <w:numId w:val="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An initiative/plan to promote growth in </w:t>
            </w:r>
            <w:r>
              <w:rPr>
                <w:rStyle w:val="Character1"/>
                <w:sz w:val="22"/>
                <w:szCs w:val="22"/>
              </w:rPr>
              <w:t xml:space="preserve">underdeveloped/poor areas that has the potential </w:t>
            </w:r>
            <w:r>
              <w:rPr>
                <w:rStyle w:val="Character1"/>
                <w:sz w:val="22"/>
                <w:szCs w:val="22"/>
              </w:rPr>
              <w:t xml:space="preserve">to grow</w:t>
            </w:r>
          </w:p>
          <w:p>
            <w:pPr>
              <w:pStyle w:val="a3"/>
              <w:numPr>
                <w:ilvl w:val="0"/>
                <w:numId w:val="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10 of these plans have been identified</w:t>
            </w:r>
          </w:p>
        </w:tc>
        <w:tc>
          <w:tcPr>
            <w:tcW w:w="588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3"/>
              <w:spacing w:line="259" w:lineRule="auto" w:after="160"/>
              <w:ind w:left="360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AIMS OF SDIs:</w:t>
            </w:r>
          </w:p>
          <w:p>
            <w:pPr>
              <w:pStyle w:val="a3"/>
              <w:numPr>
                <w:ilvl w:val="0"/>
                <w:numId w:val="1"/>
              </w:numPr>
              <w:jc w:val="left"/>
              <w:spacing w:line="259" w:lineRule="auto" w:after="160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Attract infrastructure and business investment to poor </w:t>
            </w:r>
            <w:r>
              <w:rPr>
                <w:rStyle w:val="Character1"/>
                <w:sz w:val="22"/>
                <w:szCs w:val="22"/>
              </w:rPr>
              <w:t>areas</w:t>
            </w:r>
          </w:p>
          <w:p>
            <w:pPr>
              <w:pStyle w:val="a3"/>
              <w:numPr>
                <w:ilvl w:val="0"/>
                <w:numId w:val="1"/>
              </w:numPr>
              <w:jc w:val="left"/>
              <w:spacing w:line="259" w:lineRule="auto" w:after="160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Promote agriculture, mining, tourism, environment, </w:t>
            </w:r>
            <w:r>
              <w:rPr>
                <w:rStyle w:val="Character1"/>
                <w:sz w:val="22"/>
                <w:szCs w:val="22"/>
              </w:rPr>
              <w:t xml:space="preserve">forestry, infrastructure (roads and railways), industry and </w:t>
            </w:r>
            <w:r>
              <w:rPr>
                <w:rStyle w:val="Character1"/>
                <w:sz w:val="22"/>
                <w:szCs w:val="22"/>
              </w:rPr>
              <w:t>ports</w:t>
            </w:r>
          </w:p>
          <w:p>
            <w:pPr>
              <w:pStyle w:val="a3"/>
              <w:numPr>
                <w:ilvl w:val="0"/>
                <w:numId w:val="1"/>
              </w:numPr>
              <w:jc w:val="left"/>
              <w:spacing w:line="259" w:lineRule="auto" w:after="160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Partnership between public and private sector</w:t>
            </w:r>
          </w:p>
        </w:tc>
      </w:tr>
      <w:tr>
        <w:tc>
          <w:tcPr>
            <w:tcW w:w="2830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What and Where is the West </w:t>
            </w:r>
            <w:r>
              <w:rPr>
                <w:rStyle w:val="Character1"/>
                <w:sz w:val="22"/>
                <w:szCs w:val="22"/>
              </w:rPr>
              <w:t xml:space="preserve">Coast District?</w:t>
            </w:r>
          </w:p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/>
            </w:r>
          </w:p>
          <w:p>
            <w:pPr>
              <w:pStyle w:val="Para5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>(Location)</w:t>
            </w:r>
          </w:p>
          <w:p>
            <w:pPr>
              <w:pStyle w:val="Normal"/>
              <w:rPr/>
            </w:pPr>
          </w:p>
        </w:tc>
        <w:tc>
          <w:tcPr>
            <w:tcW w:w="5283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6"/>
              <w:spacing w:line="240" w:lineRule="auto"/>
              <w:ind w:left="720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sz w:val="20"/>
              </w:rPr>
              <w:drawing>
                <wp:anchor distT="0" distB="0" distL="0" distR="0" simplePos="0" relativeHeight="251624961" behindDoc="0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133350</wp:posOffset>
                  </wp:positionV>
                  <wp:extent cx="2392680" cy="3405505"/>
                  <wp:effectExtent l="0" t="0" r="0" b="0"/>
                  <wp:wrapSquare wrapText="bothSides"/>
                  <wp:docPr id="2" name="Picture 1" descr="/data/data/com.infraware.PolarisOfficeStdForTablet/files/.polaris_temp/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/data/data/com.infraware.PolarisOfficeStdForTablet/files/.polaris_temp/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92680" cy="3405505"/>
                          </a:xfrm>
                          <a:prstGeom prst="rect"/>
                          <a:noFill/>
                          <a:ln w="3175" cap="flat" cmpd="sng">
                            <a:noFill/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rPr/>
            </w:pPr>
          </w:p>
        </w:tc>
        <w:tc>
          <w:tcPr>
            <w:tcW w:w="588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7"/>
              <w:spacing w:line="240" w:lineRule="auto"/>
              <w:ind w:left="720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/>
            </w:r>
          </w:p>
          <w:p>
            <w:pPr>
              <w:pStyle w:val="a3"/>
              <w:numPr>
                <w:ilvl w:val="0"/>
                <w:numId w:val="2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The West Coast District Municipality consists of </w:t>
            </w:r>
            <w:r>
              <w:rPr>
                <w:rStyle w:val="Character6"/>
                <w:sz w:val="22"/>
                <w:szCs w:val="22"/>
              </w:rPr>
              <w:t xml:space="preserve">five local </w:t>
            </w:r>
            <w:r>
              <w:rPr>
                <w:rStyle w:val="Character6"/>
                <w:sz w:val="22"/>
                <w:szCs w:val="22"/>
              </w:rPr>
              <w:t>municipalities</w:t>
            </w:r>
            <w:r>
              <w:rPr>
                <w:rStyle w:val="Character1"/>
                <w:sz w:val="22"/>
                <w:szCs w:val="22"/>
              </w:rPr>
              <w:t>:</w:t>
            </w:r>
          </w:p>
          <w:p>
            <w:pPr>
              <w:pStyle w:val="a3"/>
              <w:numPr>
                <w:ilvl w:val="0"/>
                <w:numId w:val="3"/>
              </w:numPr>
              <w:jc w:val="both"/>
              <w:spacing w:line="240" w:lineRule="auto"/>
              <w:ind w:left="1025" w:hanging="283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Saldanha Bay</w:t>
            </w:r>
          </w:p>
          <w:p>
            <w:pPr>
              <w:pStyle w:val="a3"/>
              <w:numPr>
                <w:ilvl w:val="0"/>
                <w:numId w:val="3"/>
              </w:numPr>
              <w:jc w:val="both"/>
              <w:spacing w:line="240" w:lineRule="auto"/>
              <w:ind w:left="1025" w:hanging="283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>Swartland</w:t>
            </w:r>
          </w:p>
          <w:p>
            <w:pPr>
              <w:pStyle w:val="a3"/>
              <w:numPr>
                <w:ilvl w:val="0"/>
                <w:numId w:val="3"/>
              </w:numPr>
              <w:jc w:val="both"/>
              <w:spacing w:line="240" w:lineRule="auto"/>
              <w:ind w:left="1025" w:hanging="283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>Bergrivier</w:t>
            </w:r>
          </w:p>
          <w:p>
            <w:pPr>
              <w:pStyle w:val="a3"/>
              <w:numPr>
                <w:ilvl w:val="0"/>
                <w:numId w:val="3"/>
              </w:numPr>
              <w:jc w:val="both"/>
              <w:spacing w:line="240" w:lineRule="auto"/>
              <w:ind w:left="1025" w:hanging="283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>Cederberg</w:t>
            </w:r>
          </w:p>
          <w:p>
            <w:pPr>
              <w:pStyle w:val="a3"/>
              <w:numPr>
                <w:ilvl w:val="0"/>
                <w:numId w:val="3"/>
              </w:numPr>
              <w:jc w:val="both"/>
              <w:spacing w:line="240" w:lineRule="auto"/>
              <w:ind w:left="1025" w:hanging="283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>Matzikama</w:t>
            </w:r>
          </w:p>
          <w:p>
            <w:pPr>
              <w:pStyle w:val="a3"/>
              <w:numPr>
                <w:ilvl w:val="0"/>
                <w:numId w:val="2"/>
              </w:numPr>
              <w:jc w:val="both"/>
              <w:spacing w:line="240" w:lineRule="auto"/>
              <w:ind w:left="714" w:hanging="357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The Atlantic Coastline (±350 km) forms the western </w:t>
            </w:r>
            <w:r>
              <w:rPr>
                <w:rStyle w:val="Character1"/>
                <w:sz w:val="22"/>
                <w:szCs w:val="22"/>
              </w:rPr>
              <w:t xml:space="preserve">boundary and the eastern boundary is defined by </w:t>
            </w:r>
            <w:r>
              <w:rPr>
                <w:rStyle w:val="Character1"/>
                <w:sz w:val="22"/>
                <w:szCs w:val="22"/>
              </w:rPr>
              <w:t xml:space="preserve">mountain ranges </w:t>
            </w:r>
          </w:p>
          <w:p>
            <w:pPr>
              <w:pStyle w:val="a3"/>
              <w:numPr>
                <w:ilvl w:val="0"/>
                <w:numId w:val="2"/>
              </w:numPr>
              <w:jc w:val="both"/>
              <w:spacing w:line="240" w:lineRule="auto"/>
              <w:ind w:left="714" w:hanging="357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The N7 national road ties all the municipalities together </w:t>
            </w:r>
            <w:r>
              <w:rPr>
                <w:rStyle w:val="Character1"/>
                <w:sz w:val="22"/>
                <w:szCs w:val="22"/>
              </w:rPr>
              <w:t xml:space="preserve">(“beads on a string”) and is the main freight route </w:t>
            </w:r>
            <w:r>
              <w:rPr>
                <w:rStyle w:val="Character1"/>
                <w:sz w:val="22"/>
                <w:szCs w:val="22"/>
              </w:rPr>
              <w:t xml:space="preserve">through the District</w:t>
            </w:r>
          </w:p>
          <w:p>
            <w:pPr>
              <w:pStyle w:val="a3"/>
              <w:numPr>
                <w:ilvl w:val="0"/>
                <w:numId w:val="2"/>
              </w:numPr>
              <w:jc w:val="both"/>
              <w:spacing w:line="240" w:lineRule="auto"/>
              <w:ind w:left="714" w:hanging="357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The Port of Saldanha forms an important transport and </w:t>
            </w:r>
            <w:r>
              <w:rPr>
                <w:rStyle w:val="Character1"/>
                <w:sz w:val="22"/>
                <w:szCs w:val="22"/>
              </w:rPr>
              <w:t xml:space="preserve">economic asset</w:t>
            </w:r>
          </w:p>
          <w:p>
            <w:pPr>
              <w:pStyle w:val="Para11"/>
              <w:spacing w:line="240" w:lineRule="auto"/>
              <w:ind w:left="714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/>
            </w:r>
          </w:p>
          <w:p>
            <w:pPr>
              <w:pStyle w:val="Para3"/>
              <w:spacing w:line="259" w:lineRule="auto" w:after="160"/>
              <w:ind w:left="360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/>
            </w:r>
          </w:p>
          <w:p>
            <w:pPr>
              <w:pStyle w:val="Para3"/>
              <w:spacing w:line="259" w:lineRule="auto" w:after="160"/>
              <w:ind w:left="360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/>
            </w:r>
          </w:p>
          <w:p>
            <w:pPr>
              <w:pStyle w:val="Para3"/>
              <w:spacing w:line="259" w:lineRule="auto" w:after="160"/>
              <w:ind w:left="360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/>
            </w:r>
          </w:p>
        </w:tc>
      </w:tr>
      <w:tr>
        <w:tc>
          <w:tcPr>
            <w:tcW w:w="2830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Wat are the main economic </w:t>
            </w:r>
            <w:r>
              <w:rPr>
                <w:rStyle w:val="Character1"/>
                <w:sz w:val="22"/>
                <w:szCs w:val="22"/>
              </w:rPr>
              <w:t xml:space="preserve">activities in the West Coast </w:t>
            </w:r>
            <w:r>
              <w:rPr>
                <w:rStyle w:val="Character1"/>
                <w:sz w:val="22"/>
                <w:szCs w:val="22"/>
              </w:rPr>
              <w:t>SDI?</w:t>
            </w:r>
          </w:p>
        </w:tc>
        <w:tc>
          <w:tcPr>
            <w:tcW w:w="5283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>Agriculture:</w:t>
            </w:r>
          </w:p>
          <w:p>
            <w:pPr>
              <w:pStyle w:val="a3"/>
              <w:numPr>
                <w:ilvl w:val="0"/>
                <w:numId w:val="4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Practiced around the majority of towns i.e. </w:t>
            </w:r>
            <w:r>
              <w:rPr>
                <w:rStyle w:val="Character1"/>
                <w:sz w:val="22"/>
                <w:szCs w:val="22"/>
              </w:rPr>
              <w:t xml:space="preserve">rooibos tea, fruit, grains, livestock, potatoes and </w:t>
            </w:r>
            <w:r>
              <w:rPr>
                <w:rStyle w:val="Character1"/>
                <w:sz w:val="22"/>
                <w:szCs w:val="22"/>
              </w:rPr>
              <w:t>wine</w:t>
            </w:r>
          </w:p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Fishing Industry:</w:t>
            </w:r>
          </w:p>
          <w:p>
            <w:pPr>
              <w:pStyle w:val="a3"/>
              <w:numPr>
                <w:ilvl w:val="0"/>
                <w:numId w:val="4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Lucky Star, Oranjevis, Sea Harvest and West Point</w:t>
            </w:r>
          </w:p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>Aquaculture:</w:t>
            </w:r>
          </w:p>
          <w:p>
            <w:pPr>
              <w:pStyle w:val="a3"/>
              <w:numPr>
                <w:ilvl w:val="0"/>
                <w:numId w:val="4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Mussels, oysters and salmon farming  </w:t>
            </w:r>
          </w:p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>Tourism:</w:t>
            </w:r>
          </w:p>
          <w:p>
            <w:pPr>
              <w:pStyle w:val="a3"/>
              <w:numPr>
                <w:ilvl w:val="0"/>
                <w:numId w:val="4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Abundance of natural and cultural capital that </w:t>
            </w:r>
            <w:r>
              <w:rPr>
                <w:rStyle w:val="Character1"/>
                <w:sz w:val="22"/>
                <w:szCs w:val="22"/>
              </w:rPr>
              <w:t xml:space="preserve">attract tourist e.g. Langebaan lagoon &amp; West </w:t>
            </w:r>
            <w:r>
              <w:rPr>
                <w:rStyle w:val="Character1"/>
                <w:sz w:val="22"/>
                <w:szCs w:val="22"/>
              </w:rPr>
              <w:t xml:space="preserve">Coast National Park</w:t>
            </w:r>
          </w:p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Freight transport:</w:t>
            </w:r>
          </w:p>
          <w:p>
            <w:pPr>
              <w:pStyle w:val="a3"/>
              <w:numPr>
                <w:ilvl w:val="0"/>
                <w:numId w:val="4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Imports and exports through Port of Saldanha</w:t>
            </w:r>
          </w:p>
          <w:p>
            <w:pPr>
              <w:pStyle w:val="a3"/>
              <w:numPr>
                <w:ilvl w:val="0"/>
                <w:numId w:val="4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Transport of freight through the district between </w:t>
            </w:r>
            <w:r>
              <w:rPr>
                <w:rStyle w:val="Character1"/>
                <w:sz w:val="22"/>
                <w:szCs w:val="22"/>
              </w:rPr>
              <w:t xml:space="preserve">Cape Town and Windhoek</w:t>
            </w:r>
          </w:p>
        </w:tc>
        <w:tc>
          <w:tcPr>
            <w:tcW w:w="588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Port of Saldanha:</w:t>
            </w:r>
          </w:p>
          <w:p>
            <w:pPr>
              <w:pStyle w:val="a3"/>
              <w:numPr>
                <w:ilvl w:val="0"/>
                <w:numId w:val="5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Well located deep water port</w:t>
            </w:r>
          </w:p>
          <w:p>
            <w:pPr>
              <w:pStyle w:val="a3"/>
              <w:numPr>
                <w:ilvl w:val="0"/>
                <w:numId w:val="5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Cargo facilities to handle exports and imports</w:t>
            </w:r>
          </w:p>
          <w:p>
            <w:pPr>
              <w:pStyle w:val="a3"/>
              <w:numPr>
                <w:ilvl w:val="0"/>
                <w:numId w:val="5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Exports – iron-ore</w:t>
            </w:r>
          </w:p>
          <w:p>
            <w:pPr>
              <w:pStyle w:val="a3"/>
              <w:numPr>
                <w:ilvl w:val="0"/>
                <w:numId w:val="5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Imports – 7 million tonnes of crude oil per annum</w:t>
            </w:r>
          </w:p>
          <w:p>
            <w:pPr>
              <w:pStyle w:val="a3"/>
              <w:numPr>
                <w:ilvl w:val="0"/>
                <w:numId w:val="5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Handles offshore extraction of oil and gas</w:t>
            </w:r>
          </w:p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Manufacturing Industry:</w:t>
            </w:r>
          </w:p>
          <w:p>
            <w:pPr>
              <w:pStyle w:val="a3"/>
              <w:numPr>
                <w:ilvl w:val="0"/>
                <w:numId w:val="6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Steel processing/manufacturing (ArcelorMittal)</w:t>
            </w:r>
          </w:p>
          <w:p>
            <w:pPr>
              <w:pStyle w:val="a3"/>
              <w:numPr>
                <w:ilvl w:val="0"/>
                <w:numId w:val="6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Fish processing and fishmeal industries</w:t>
            </w:r>
          </w:p>
          <w:p>
            <w:pPr>
              <w:pStyle w:val="a3"/>
              <w:numPr>
                <w:ilvl w:val="0"/>
                <w:numId w:val="6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Gas power plant</w:t>
            </w:r>
          </w:p>
          <w:p>
            <w:pPr>
              <w:pStyle w:val="a3"/>
              <w:numPr>
                <w:ilvl w:val="0"/>
                <w:numId w:val="6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Ship repair facility</w:t>
            </w:r>
          </w:p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Mining Industry:</w:t>
            </w:r>
          </w:p>
          <w:p>
            <w:pPr>
              <w:pStyle w:val="a3"/>
              <w:numPr>
                <w:ilvl w:val="0"/>
                <w:numId w:val="7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Saldanha iron ore handling facility</w:t>
            </w:r>
          </w:p>
          <w:p>
            <w:pPr>
              <w:pStyle w:val="a3"/>
              <w:numPr>
                <w:ilvl w:val="0"/>
                <w:numId w:val="6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Oil and gas storage</w:t>
            </w:r>
          </w:p>
          <w:p>
            <w:pPr>
              <w:pStyle w:val="a3"/>
              <w:numPr>
                <w:ilvl w:val="0"/>
                <w:numId w:val="7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Kropz phosphate mine</w:t>
            </w:r>
          </w:p>
          <w:p>
            <w:pPr>
              <w:pStyle w:val="a3"/>
              <w:numPr>
                <w:ilvl w:val="0"/>
                <w:numId w:val="7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Limestone and aggregate quarries</w:t>
            </w:r>
          </w:p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/>
            </w:r>
          </w:p>
        </w:tc>
      </w:tr>
      <w:tr>
        <w:tc>
          <w:tcPr>
            <w:tcW w:w="2830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What are the aims/goals of </w:t>
            </w:r>
            <w:r>
              <w:rPr>
                <w:rStyle w:val="Character1"/>
                <w:sz w:val="22"/>
                <w:szCs w:val="22"/>
              </w:rPr>
              <w:t xml:space="preserve">the West Coast SDI?</w:t>
            </w:r>
          </w:p>
        </w:tc>
        <w:tc>
          <w:tcPr>
            <w:tcW w:w="5283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Goals are:</w:t>
            </w:r>
          </w:p>
          <w:p>
            <w:pPr>
              <w:pStyle w:val="a3"/>
              <w:numPr>
                <w:ilvl w:val="0"/>
                <w:numId w:val="8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ensuring environmental integrity for the West </w:t>
            </w:r>
            <w:r>
              <w:rPr>
                <w:rStyle w:val="Character1"/>
                <w:sz w:val="22"/>
                <w:szCs w:val="22"/>
              </w:rPr>
              <w:t>Coast</w:t>
            </w:r>
          </w:p>
          <w:p>
            <w:pPr>
              <w:pStyle w:val="a3"/>
              <w:numPr>
                <w:ilvl w:val="0"/>
                <w:numId w:val="8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economic growth and the creation of job </w:t>
            </w:r>
            <w:r>
              <w:rPr>
                <w:rStyle w:val="Character1"/>
                <w:sz w:val="22"/>
                <w:szCs w:val="22"/>
              </w:rPr>
              <w:t>opportunities</w:t>
            </w:r>
          </w:p>
          <w:p>
            <w:pPr>
              <w:pStyle w:val="a3"/>
              <w:numPr>
                <w:ilvl w:val="0"/>
                <w:numId w:val="8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promoting social wellbeing of the community</w:t>
            </w:r>
          </w:p>
          <w:p>
            <w:pPr>
              <w:pStyle w:val="a3"/>
              <w:numPr>
                <w:ilvl w:val="0"/>
                <w:numId w:val="8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promoting bulk infrastructure and development </w:t>
            </w:r>
            <w:r>
              <w:rPr>
                <w:rStyle w:val="Character1"/>
                <w:sz w:val="22"/>
                <w:szCs w:val="22"/>
              </w:rPr>
              <w:t>services</w:t>
            </w:r>
          </w:p>
          <w:p>
            <w:pPr>
              <w:pStyle w:val="a3"/>
              <w:numPr>
                <w:ilvl w:val="0"/>
                <w:numId w:val="8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ensuring good governance and financial viability</w:t>
            </w:r>
          </w:p>
        </w:tc>
        <w:tc>
          <w:tcPr>
            <w:tcW w:w="588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3"/>
              <w:spacing w:line="259" w:lineRule="auto" w:after="160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Goals will be achieved through the following 3 key </w:t>
            </w:r>
            <w:r>
              <w:rPr>
                <w:rStyle w:val="Character0"/>
                <w:sz w:val="22"/>
                <w:szCs w:val="22"/>
              </w:rPr>
              <w:t xml:space="preserve">development areas:</w:t>
            </w:r>
          </w:p>
          <w:p>
            <w:pPr>
              <w:pStyle w:val="a3"/>
              <w:numPr>
                <w:ilvl w:val="0"/>
                <w:numId w:val="9"/>
              </w:numPr>
              <w:jc w:val="left"/>
              <w:spacing w:line="240" w:lineRule="auto"/>
              <w:ind w:left="714" w:hanging="357"/>
              <w:rPr>
                <w:sz w:val="22"/>
                <w:szCs w:val="22"/>
              </w:rPr>
            </w:pPr>
            <w:r>
              <w:rPr>
                <w:rStyle w:val="Character0"/>
                <w:sz w:val="22"/>
                <w:szCs w:val="22"/>
              </w:rPr>
              <w:t xml:space="preserve">Vredenburg-Saldanha Major Regional Growth Corridor</w:t>
            </w:r>
            <w:r>
              <w:rPr>
                <w:rStyle w:val="Character1"/>
                <w:sz w:val="22"/>
                <w:szCs w:val="22"/>
              </w:rPr>
              <w:t>:</w:t>
            </w:r>
          </w:p>
          <w:p>
            <w:pPr>
              <w:pStyle w:val="Para15"/>
              <w:spacing w:line="240" w:lineRule="auto"/>
              <w:ind w:left="714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The Port of Saldanha attracts economic activity </w:t>
            </w:r>
            <w:r>
              <w:rPr>
                <w:rStyle w:val="Character1"/>
                <w:sz w:val="22"/>
                <w:szCs w:val="22"/>
              </w:rPr>
              <w:t xml:space="preserve">promoting the growth potential of the adjacent towns </w:t>
            </w:r>
            <w:r>
              <w:rPr>
                <w:rStyle w:val="Character1"/>
                <w:sz w:val="22"/>
                <w:szCs w:val="22"/>
              </w:rPr>
              <w:t xml:space="preserve">and nodes.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14" w:hanging="357"/>
              <w:rPr>
                <w:sz w:val="22"/>
                <w:szCs w:val="22"/>
              </w:rPr>
            </w:pPr>
            <w:r>
              <w:rPr>
                <w:rStyle w:val="Character0"/>
                <w:sz w:val="22"/>
                <w:szCs w:val="22"/>
              </w:rPr>
              <w:t xml:space="preserve">Lower N7 Transport Corridor</w:t>
            </w:r>
            <w:r>
              <w:rPr>
                <w:rStyle w:val="Character1"/>
                <w:sz w:val="22"/>
                <w:szCs w:val="22"/>
              </w:rPr>
              <w:t xml:space="preserve">:           </w:t>
            </w:r>
          </w:p>
          <w:p>
            <w:pPr>
              <w:pStyle w:val="Para15"/>
              <w:spacing w:line="240" w:lineRule="auto"/>
              <w:ind w:left="714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Malmesbury along the N7 road forms a regional node </w:t>
            </w:r>
            <w:r>
              <w:rPr>
                <w:rStyle w:val="Character1"/>
                <w:sz w:val="22"/>
                <w:szCs w:val="22"/>
              </w:rPr>
              <w:t xml:space="preserve">and creates the potential for growth. Moorreesburg and </w:t>
            </w:r>
            <w:r>
              <w:rPr>
                <w:rStyle w:val="Character1"/>
                <w:sz w:val="22"/>
                <w:szCs w:val="22"/>
              </w:rPr>
              <w:t xml:space="preserve">Piketberg are also nodes along the N7 road. 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14" w:hanging="357"/>
              <w:rPr>
                <w:sz w:val="22"/>
                <w:szCs w:val="22"/>
              </w:rPr>
            </w:pPr>
            <w:r>
              <w:rPr>
                <w:rStyle w:val="Character0"/>
                <w:sz w:val="22"/>
                <w:szCs w:val="22"/>
              </w:rPr>
              <w:t xml:space="preserve">Northern Rural Development Corridor:</w:t>
            </w:r>
          </w:p>
          <w:p>
            <w:pPr>
              <w:pStyle w:val="Para15"/>
              <w:spacing w:line="240" w:lineRule="auto"/>
              <w:ind w:left="714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The fertile Olifants River Valley agricultural production </w:t>
            </w:r>
            <w:r>
              <w:rPr>
                <w:rStyle w:val="Character1"/>
                <w:sz w:val="22"/>
                <w:szCs w:val="22"/>
              </w:rPr>
              <w:t xml:space="preserve">area is the primary economic growth sector followed by </w:t>
            </w:r>
            <w:r>
              <w:rPr>
                <w:rStyle w:val="Character1"/>
                <w:sz w:val="22"/>
                <w:szCs w:val="22"/>
              </w:rPr>
              <w:t xml:space="preserve">fishing and tourism.</w:t>
            </w:r>
          </w:p>
        </w:tc>
      </w:tr>
      <w:tr>
        <w:tc>
          <w:tcPr>
            <w:tcW w:w="2830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What development projects </w:t>
            </w:r>
            <w:r>
              <w:rPr>
                <w:rStyle w:val="Character1"/>
                <w:sz w:val="22"/>
                <w:szCs w:val="22"/>
              </w:rPr>
              <w:t xml:space="preserve">are associated with the West </w:t>
            </w:r>
            <w:r>
              <w:rPr>
                <w:rStyle w:val="Character1"/>
                <w:sz w:val="22"/>
                <w:szCs w:val="22"/>
              </w:rPr>
              <w:t xml:space="preserve">Coast SDI?</w:t>
            </w:r>
          </w:p>
          <w:p>
            <w:pPr>
              <w:pStyle w:val="Normal"/>
              <w:rPr/>
            </w:pPr>
          </w:p>
        </w:tc>
        <w:tc>
          <w:tcPr>
            <w:tcW w:w="5283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>Infrastructure: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 sea water desalination plant</w:t>
            </w:r>
          </w:p>
          <w:p>
            <w:pPr>
              <w:pStyle w:val="a3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Increasing capacity of the Sishen-Saldanha railway </w:t>
            </w:r>
            <w:r>
              <w:rPr>
                <w:rStyle w:val="Character0"/>
                <w:sz w:val="22"/>
                <w:szCs w:val="22"/>
              </w:rPr>
              <w:t>Agriculture:</w:t>
            </w:r>
          </w:p>
          <w:p>
            <w:pPr>
              <w:pStyle w:val="a3"/>
              <w:spacing w:line="240" w:lineRule="auto"/>
              <w:ind w:left="709" w:hanging="352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line linking iron ore mines in the Northern Cape to </w:t>
            </w:r>
            <w:r>
              <w:rPr>
                <w:rStyle w:val="Character1"/>
                <w:sz w:val="22"/>
                <w:szCs w:val="22"/>
              </w:rPr>
              <w:t xml:space="preserve">Saldanha harbour</w:t>
            </w:r>
          </w:p>
          <w:p>
            <w:pPr>
              <w:pStyle w:val="a3"/>
              <w:numPr>
                <w:ilvl w:val="0"/>
                <w:numId w:val="10"/>
              </w:numPr>
              <w:jc w:val="both"/>
              <w:spacing w:line="240" w:lineRule="auto"/>
              <w:ind w:left="709" w:hanging="352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Upgrade of the N7 road</w:t>
            </w:r>
          </w:p>
          <w:p>
            <w:pPr>
              <w:pStyle w:val="a3"/>
              <w:numPr>
                <w:ilvl w:val="0"/>
                <w:numId w:val="10"/>
              </w:numPr>
              <w:jc w:val="both"/>
              <w:spacing w:line="240" w:lineRule="auto"/>
              <w:ind w:left="709" w:hanging="352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Establishment of dedicated freight roads, which </w:t>
            </w:r>
            <w:r>
              <w:rPr>
                <w:rStyle w:val="Character1"/>
                <w:sz w:val="22"/>
                <w:szCs w:val="22"/>
              </w:rPr>
              <w:t xml:space="preserve">will require major road works</w:t>
            </w:r>
          </w:p>
          <w:p>
            <w:pPr>
              <w:pStyle w:val="a3"/>
              <w:numPr>
                <w:ilvl w:val="0"/>
                <w:numId w:val="10"/>
              </w:numPr>
              <w:jc w:val="both"/>
              <w:spacing w:line="240" w:lineRule="auto"/>
              <w:ind w:left="709" w:hanging="352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Upgrade of the Port of Saldanha to expand the </w:t>
            </w:r>
            <w:r>
              <w:rPr>
                <w:rStyle w:val="Character1"/>
                <w:sz w:val="22"/>
                <w:szCs w:val="22"/>
              </w:rPr>
              <w:t xml:space="preserve">waterside and landside infrastructure to support </w:t>
            </w:r>
            <w:r>
              <w:rPr>
                <w:rStyle w:val="Character1"/>
                <w:sz w:val="22"/>
                <w:szCs w:val="22"/>
              </w:rPr>
              <w:t xml:space="preserve">the proposed IDZ</w:t>
            </w:r>
          </w:p>
          <w:p>
            <w:pPr>
              <w:pStyle w:val="a3"/>
              <w:numPr>
                <w:ilvl w:val="0"/>
                <w:numId w:val="10"/>
              </w:numPr>
              <w:jc w:val="both"/>
              <w:spacing w:line="240" w:lineRule="auto"/>
              <w:ind w:left="709" w:hanging="352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Establishment of a regional waste facility in the </w:t>
            </w:r>
            <w:r>
              <w:rPr>
                <w:rStyle w:val="Character1"/>
                <w:sz w:val="22"/>
                <w:szCs w:val="22"/>
              </w:rPr>
              <w:t xml:space="preserve">Matzikama area</w:t>
            </w:r>
          </w:p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Renewable Energy:</w:t>
            </w:r>
          </w:p>
          <w:p>
            <w:pPr>
              <w:pStyle w:val="a3"/>
              <w:numPr>
                <w:ilvl w:val="0"/>
                <w:numId w:val="10"/>
              </w:numPr>
              <w:jc w:val="both"/>
              <w:spacing w:line="240" w:lineRule="auto"/>
              <w:ind w:left="709" w:hanging="352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Renewable energy projects like solar and wind </w:t>
            </w:r>
            <w:r>
              <w:rPr>
                <w:rStyle w:val="Character1"/>
                <w:sz w:val="22"/>
                <w:szCs w:val="22"/>
              </w:rPr>
              <w:t>farms</w:t>
            </w:r>
          </w:p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>Aquaculture: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Major expansion of aquaculture zone in the bay of </w:t>
            </w:r>
            <w:r>
              <w:rPr>
                <w:rStyle w:val="Character1"/>
                <w:sz w:val="22"/>
                <w:szCs w:val="22"/>
              </w:rPr>
              <w:t>Saldanda</w:t>
            </w:r>
          </w:p>
          <w:p>
            <w:pPr>
              <w:pStyle w:val="a3"/>
              <w:numPr>
                <w:ilvl w:val="0"/>
                <w:numId w:val="9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As part of the Agri-Park initiative, Doringbaai, </w:t>
            </w:r>
            <w:r>
              <w:rPr>
                <w:rStyle w:val="Character1"/>
                <w:sz w:val="22"/>
                <w:szCs w:val="22"/>
              </w:rPr>
              <w:t xml:space="preserve">Lamberts Bay and Elands Bay were identified as </w:t>
            </w:r>
            <w:r>
              <w:rPr>
                <w:rStyle w:val="Character1"/>
                <w:sz w:val="22"/>
                <w:szCs w:val="22"/>
              </w:rPr>
              <w:t xml:space="preserve">Aqua-Hubs, supporting aquaculture production</w:t>
            </w:r>
          </w:p>
          <w:p>
            <w:pPr>
              <w:pStyle w:val="Para17"/>
              <w:spacing w:line="240" w:lineRule="auto"/>
              <w:ind w:left="360" w:firstLine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/>
            </w:r>
          </w:p>
        </w:tc>
        <w:tc>
          <w:tcPr>
            <w:tcW w:w="588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Expansion of the Clanwilliam Dam and Olifants River </w:t>
            </w:r>
            <w:r>
              <w:rPr>
                <w:rStyle w:val="Character1"/>
                <w:sz w:val="22"/>
                <w:szCs w:val="22"/>
              </w:rPr>
              <w:t xml:space="preserve">Irrigation scheme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Agri-Park initiative as a network innovation system of </w:t>
            </w:r>
            <w:r>
              <w:rPr>
                <w:rStyle w:val="Character1"/>
                <w:sz w:val="22"/>
                <w:szCs w:val="22"/>
              </w:rPr>
              <w:t xml:space="preserve">agri-production, processing, logistics, marketing, training </w:t>
            </w:r>
            <w:r>
              <w:rPr>
                <w:rStyle w:val="Character1"/>
                <w:sz w:val="22"/>
                <w:szCs w:val="22"/>
              </w:rPr>
              <w:t xml:space="preserve">and support services to support land reform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Vredendal, Clanwilliam and Malmesbury were identified as </w:t>
            </w:r>
            <w:r>
              <w:rPr>
                <w:rStyle w:val="Character1"/>
                <w:sz w:val="22"/>
                <w:szCs w:val="22"/>
              </w:rPr>
              <w:t xml:space="preserve">Agri-Hubs, supporting farmer production</w:t>
            </w:r>
          </w:p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>Manufacturing: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Fuel storage facility of the Mining, Oil and Gas Sector </w:t>
            </w:r>
            <w:r>
              <w:rPr>
                <w:rStyle w:val="Character1"/>
                <w:sz w:val="22"/>
                <w:szCs w:val="22"/>
              </w:rPr>
              <w:t xml:space="preserve">Company in South Africa (MOGS)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Avedia and Sunrise Energy’s liquid petroleum gas (LPG) </w:t>
            </w:r>
            <w:r>
              <w:rPr>
                <w:rStyle w:val="Character1"/>
                <w:sz w:val="22"/>
                <w:szCs w:val="22"/>
              </w:rPr>
              <w:t xml:space="preserve">import and storage facilities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Processing of other minerals on Northern Cape corridor </w:t>
            </w:r>
            <w:r>
              <w:rPr>
                <w:rStyle w:val="Character1"/>
                <w:sz w:val="22"/>
                <w:szCs w:val="22"/>
              </w:rPr>
              <w:t xml:space="preserve">and near the Port of Saldanha</w:t>
            </w:r>
          </w:p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Industrial Development Zone (IDZ):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An industrial estate (Saldanha Bay) that leverages </w:t>
            </w:r>
            <w:r>
              <w:rPr>
                <w:rStyle w:val="Character1"/>
                <w:sz w:val="22"/>
                <w:szCs w:val="22"/>
              </w:rPr>
              <w:t xml:space="preserve">domestic and foreign investment to encourage value-</w:t>
            </w:r>
            <w:r>
              <w:rPr>
                <w:rStyle w:val="Character1"/>
                <w:sz w:val="22"/>
                <w:szCs w:val="22"/>
              </w:rPr>
              <w:t xml:space="preserve">adding and export-orientated manufacturing</w:t>
            </w:r>
          </w:p>
        </w:tc>
      </w:tr>
      <w:tr>
        <w:tc>
          <w:tcPr>
            <w:tcW w:w="2830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1"/>
                <w:sz w:val="22"/>
                <w:szCs w:val="22"/>
              </w:rPr>
              <w:t xml:space="preserve">What are the economic </w:t>
            </w:r>
            <w:r>
              <w:rPr>
                <w:rStyle w:val="Character1"/>
                <w:sz w:val="22"/>
                <w:szCs w:val="22"/>
              </w:rPr>
              <w:t xml:space="preserve">advantages of the West Coast </w:t>
            </w:r>
            <w:r>
              <w:rPr>
                <w:rStyle w:val="Character1"/>
                <w:sz w:val="22"/>
                <w:szCs w:val="22"/>
              </w:rPr>
              <w:t>SDI?</w:t>
            </w:r>
          </w:p>
        </w:tc>
        <w:tc>
          <w:tcPr>
            <w:tcW w:w="5283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2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Advantages for local communities: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Employment opportunities in industries, farming, </w:t>
            </w:r>
            <w:r>
              <w:rPr>
                <w:rStyle w:val="Character1"/>
                <w:sz w:val="22"/>
                <w:szCs w:val="22"/>
              </w:rPr>
              <w:t xml:space="preserve">infrastructure development and tourism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Earning potential increases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Poverty reduced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Accessibility to services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Standard of living increases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Tourism provides for the buying and selling of arts </w:t>
            </w:r>
            <w:r>
              <w:rPr>
                <w:rStyle w:val="Character1"/>
                <w:sz w:val="22"/>
                <w:szCs w:val="22"/>
              </w:rPr>
              <w:t xml:space="preserve">and crafts for growth of the informal sector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The growth of informal and formal economic </w:t>
            </w:r>
            <w:r>
              <w:rPr>
                <w:rStyle w:val="Character1"/>
                <w:sz w:val="22"/>
                <w:szCs w:val="22"/>
              </w:rPr>
              <w:t xml:space="preserve">activities along the development corridors of the </w:t>
            </w:r>
            <w:r>
              <w:rPr>
                <w:rStyle w:val="Character1"/>
                <w:sz w:val="22"/>
                <w:szCs w:val="22"/>
              </w:rPr>
              <w:t xml:space="preserve">SDI will increase the productivity and wealth of </w:t>
            </w:r>
            <w:r>
              <w:rPr>
                <w:rStyle w:val="Character1"/>
                <w:sz w:val="22"/>
                <w:szCs w:val="22"/>
              </w:rPr>
              <w:t xml:space="preserve">people in marginal areas</w:t>
            </w:r>
          </w:p>
        </w:tc>
        <w:tc>
          <w:tcPr>
            <w:tcW w:w="588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r>
              <w:rPr>
                <w:rStyle w:val="Character0"/>
                <w:sz w:val="22"/>
                <w:szCs w:val="22"/>
              </w:rPr>
              <w:t xml:space="preserve">Advantages for the SAs economy: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The SDI initiated links with the Northern Cape and </w:t>
            </w:r>
            <w:r>
              <w:rPr>
                <w:rStyle w:val="Character1"/>
                <w:sz w:val="22"/>
                <w:szCs w:val="22"/>
              </w:rPr>
              <w:t>Windhoek</w:t>
            </w:r>
          </w:p>
          <w:p>
            <w:pPr>
              <w:pStyle w:val="a3"/>
              <w:numPr>
                <w:ilvl w:val="0"/>
                <w:numId w:val="11"/>
              </w:numPr>
              <w:jc w:val="both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Provides access to resources of these areas</w:t>
            </w:r>
          </w:p>
          <w:p>
            <w:pPr>
              <w:pStyle w:val="a3"/>
              <w:numPr>
                <w:ilvl w:val="0"/>
                <w:numId w:val="1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The SDI promotes the development of new and existing </w:t>
            </w:r>
            <w:r>
              <w:rPr>
                <w:rStyle w:val="Character1"/>
                <w:sz w:val="22"/>
                <w:szCs w:val="22"/>
              </w:rPr>
              <w:t>infrastructure</w:t>
            </w:r>
          </w:p>
          <w:p>
            <w:pPr>
              <w:pStyle w:val="a3"/>
              <w:numPr>
                <w:ilvl w:val="0"/>
                <w:numId w:val="1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This provides access to different markets and assists with </w:t>
            </w:r>
            <w:r>
              <w:rPr>
                <w:rStyle w:val="Character1"/>
                <w:sz w:val="22"/>
                <w:szCs w:val="22"/>
              </w:rPr>
              <w:t xml:space="preserve">economic upliftment</w:t>
            </w:r>
          </w:p>
          <w:p>
            <w:pPr>
              <w:pStyle w:val="a3"/>
              <w:numPr>
                <w:ilvl w:val="0"/>
                <w:numId w:val="1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Promotes domestic and international trade</w:t>
            </w:r>
          </w:p>
          <w:p>
            <w:pPr>
              <w:pStyle w:val="a3"/>
              <w:numPr>
                <w:ilvl w:val="0"/>
                <w:numId w:val="1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Efficient transport networks to move raw materials and </w:t>
            </w:r>
            <w:r>
              <w:rPr>
                <w:rStyle w:val="Character1"/>
                <w:sz w:val="22"/>
                <w:szCs w:val="22"/>
              </w:rPr>
              <w:t xml:space="preserve">finished goods</w:t>
            </w:r>
          </w:p>
          <w:p>
            <w:pPr>
              <w:pStyle w:val="a3"/>
              <w:numPr>
                <w:ilvl w:val="0"/>
                <w:numId w:val="1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Good port facilities with international links</w:t>
            </w:r>
          </w:p>
          <w:p>
            <w:pPr>
              <w:pStyle w:val="a3"/>
              <w:numPr>
                <w:ilvl w:val="0"/>
                <w:numId w:val="1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Employment opportunities</w:t>
            </w:r>
          </w:p>
          <w:p>
            <w:pPr>
              <w:pStyle w:val="a3"/>
              <w:numPr>
                <w:ilvl w:val="0"/>
                <w:numId w:val="11"/>
              </w:numPr>
              <w:jc w:val="left"/>
              <w:spacing w:line="240" w:lineRule="auto"/>
              <w:ind w:left="720" w:hanging="360"/>
              <w:rPr>
                <w:sz w:val="22"/>
                <w:szCs w:val="22"/>
              </w:rPr>
            </w:pPr>
            <w:r>
              <w:rPr>
                <w:rStyle w:val="Character1"/>
                <w:sz w:val="22"/>
                <w:szCs w:val="22"/>
              </w:rPr>
              <w:t xml:space="preserve">Sustainable water for domestic and industrial use and </w:t>
            </w:r>
            <w:r>
              <w:rPr>
                <w:rStyle w:val="Character1"/>
                <w:sz w:val="22"/>
                <w:szCs w:val="22"/>
              </w:rPr>
              <w:t>farming</w:t>
            </w:r>
          </w:p>
        </w:tc>
      </w:tr>
      <w:tr>
        <w:tc>
          <w:tcPr>
            <w:tcW w:w="13995" w:type="dxa"/>
            <w:tcMar>
              <w:left w:w="99" w:type="dxa"/>
              <w:right w:w="99" w:type="dxa"/>
              <w:top w:w="0" w:type="dxa"/>
              <w:bottom w:w="0" w:type="dxa"/>
            </w:tcMa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/>
              <w:rPr>
                <w:sz w:val="22"/>
                <w:szCs w:val="22"/>
                <w:rFonts w:ascii="Century Gothic" w:eastAsia="Century Gothic" w:hAnsi="Century Gothic"/>
              </w:rPr>
            </w:pPr>
            <w:bookmarkStart w:id="1" w:name="_GoBack"/>
            <w:r>
              <w:rPr>
                <w:sz w:val="20"/>
              </w:rPr>
              <w:drawing>
                <wp:inline distT="0" distB="0" distL="0" distR="0">
                  <wp:extent cx="3138805" cy="4439920"/>
                  <wp:effectExtent l="0" t="0" r="6350" b="1270"/>
                  <wp:docPr id="3" name="Picture 2" descr="/data/data/com.infraware.PolarisOfficeStdForTablet/files/.polaris_temp/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/data/data/com.infraware.PolarisOfficeStdForTablet/files/.polaris_temp/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138805" cy="4439920"/>
                          </a:xfrm>
                          <a:prstGeom prst="rect"/>
                          <a:noFill/>
                          <a:ln w="3175" cap="flat" cmpd="sng"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</w:tbl>
    <w:p>
      <w:pPr>
        <w:pStyle w:val="Para19"/>
        <w:spacing w:line="276" w:lineRule="auto" w:after="200"/>
        <w:ind w:left="0"/>
        <w:rPr>
          <w:sz w:val="22"/>
          <w:szCs w:val="22"/>
          <w:rFonts w:ascii="Calibri" w:eastAsia="Calibri" w:hAnsi="Calibri"/>
        </w:rPr>
      </w:pPr>
      <w:r>
        <w:rPr>
          <w:sz w:val="20"/>
        </w:rPr>
        <w:drawing>
          <wp:anchor distT="0" distB="0" distL="0" distR="0" simplePos="0" relativeHeight="251624963" behindDoc="0" locked="0" layoutInCell="1" allowOverlap="1">
            <wp:simplePos x="0" y="0"/>
            <wp:positionH relativeFrom="column">
              <wp:posOffset>3705860</wp:posOffset>
            </wp:positionH>
            <wp:positionV relativeFrom="paragraph">
              <wp:posOffset>1395095</wp:posOffset>
            </wp:positionV>
            <wp:extent cx="5014595" cy="5070475"/>
            <wp:effectExtent l="0" t="0" r="0" b="0"/>
            <wp:wrapSquare wrapText="bothSides"/>
            <wp:docPr id="4" name="Picture 3" descr="/data/data/com.infraware.PolarisOfficeStdForTablet/files/.polaris_temp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data/data/com.infraware.PolarisOfficeStdForTablet/files/.polaris_temp/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4595" cy="5070475"/>
                    </a:xfrm>
                    <a:prstGeom prst="rect"/>
                    <a:noFill/>
                    <a:ln w="3175" cap="flat" cmpd="sng"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simplePos="0" relativeHeight="2516249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141470" cy="5858510"/>
            <wp:effectExtent l="0" t="0" r="0" b="8890"/>
            <wp:wrapSquare wrapText="bothSides"/>
            <wp:docPr id="5" name="Picture 4" descr="/data/data/com.infraware.PolarisOfficeStdForTablet/files/.polaris_temp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data/data/com.infraware.PolarisOfficeStdForTablet/files/.polaris_temp/image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41470" cy="5858510"/>
                    </a:xfrm>
                    <a:prstGeom prst="rect"/>
                    <a:noFill/>
                    <a:ln w="3175" cap="flat" cmpd="sng"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 w:code="9"/>
      <w:pgMar w:top="1021" w:right="1812" w:bottom="1021" w:left="1021" w:header="851" w:footer="992" w:gutter="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Symbol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Wingdings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MS Mincho">
    <w:panose1 w:val="020F0502020204030204"/>
    <w:charset w:val="128"/>
    <w:family w:val="mordern"/>
    <w:pitch w:val="variable"/>
    <w:sig w:usb0="A00002EF" w:usb1="4000207B" w:usb2="00000000" w:usb3="00000000" w:csb0="0000009F" w:csb1="00000000"/>
  </w:font>
  <w:font w:name="Calibri,BoldItalic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Tahoma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entury Gothic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"/>
    <w:multiLevelType w:val="hybridMultilevel"/>
    <w:tmpl w:val="156580399"/>
    <w:lvl w:ilvl="0">
      <w:start w:val="0"/>
      <w:numFmt w:val="bullet"/>
      <w:lvlText w:val=""/>
      <w:pPr>
        <w:ind w:left="720" w:hanging="360"/>
      </w:pPr>
      <w:rPr>
        <w:rFonts w:ascii="Calibri" w:eastAsia="Calibri" w:hAnsi="Calibri" w:hint="default"/>
      </w:rPr>
      <w:rPr>
        <w:b w:val="false"/>
        <w:color w:val="000000"/>
        <w:sz w:val="22"/>
      </w:rPr>
    </w:lvl>
    <w:lvl w:ilvl="1">
      <w:start w:val="0"/>
      <w:numFmt w:val="bullet"/>
      <w:lvlText w:val=""/>
      <w:pPr>
        <w:ind w:left="720" w:hanging="360"/>
      </w:pPr>
      <w:rPr>
        <w:rFonts w:ascii="Calibri" w:eastAsia="Calibri" w:hAnsi="Calibri" w:hint="default"/>
      </w:rPr>
      <w:rPr>
        <w:b w:val="false"/>
        <w:color w:val="000000"/>
        <w:sz w:val="22"/>
      </w:rPr>
    </w:lvl>
    <w:lvl w:ilvl="2">
      <w:start w:val="0"/>
      <w:numFmt w:val="bullet"/>
      <w:lvlText w:val=""/>
      <w:pPr>
        <w:ind w:left="720" w:hanging="360"/>
      </w:pPr>
      <w:rPr>
        <w:rFonts w:ascii="Calibri" w:eastAsia="Calibri" w:hAnsi="Calibri" w:hint="default"/>
      </w:rPr>
      <w:rPr>
        <w:b w:val="false"/>
        <w:color w:val="000000"/>
        <w:sz w:val="22"/>
      </w:rPr>
    </w:lvl>
    <w:lvl w:ilvl="3">
      <w:start w:val="0"/>
      <w:numFmt w:val="bullet"/>
      <w:lvlText w:val=""/>
      <w:pPr>
        <w:ind w:left="720" w:hanging="360"/>
      </w:pPr>
      <w:rPr>
        <w:rFonts w:ascii="Calibri" w:eastAsia="Calibri" w:hAnsi="Calibri" w:hint="default"/>
      </w:rPr>
      <w:rPr>
        <w:b w:val="false"/>
        <w:color w:val="000000"/>
        <w:sz w:val="22"/>
      </w:rPr>
    </w:lvl>
    <w:lvl w:ilvl="4">
      <w:start w:val="0"/>
      <w:numFmt w:val="bullet"/>
      <w:lvlText w:val=""/>
      <w:pPr>
        <w:ind w:left="720" w:hanging="360"/>
      </w:pPr>
      <w:rPr>
        <w:rFonts w:ascii="Calibri" w:eastAsia="Calibri" w:hAnsi="Calibri" w:hint="default"/>
      </w:rPr>
      <w:rPr>
        <w:b w:val="false"/>
        <w:color w:val="000000"/>
        <w:sz w:val="22"/>
      </w:rPr>
    </w:lvl>
    <w:lvl w:ilvl="5">
      <w:start w:val="0"/>
      <w:numFmt w:val="bullet"/>
      <w:lvlText w:val=""/>
      <w:pPr>
        <w:ind w:left="720" w:hanging="360"/>
      </w:pPr>
      <w:rPr>
        <w:rFonts w:ascii="Calibri" w:eastAsia="Calibri" w:hAnsi="Calibri" w:hint="default"/>
      </w:rPr>
      <w:rPr>
        <w:b w:val="false"/>
        <w:color w:val="000000"/>
        <w:sz w:val="22"/>
      </w:rPr>
    </w:lvl>
    <w:lvl w:ilvl="6">
      <w:start w:val="0"/>
      <w:numFmt w:val="bullet"/>
      <w:lvlText w:val=""/>
      <w:pPr>
        <w:ind w:left="720" w:hanging="360"/>
      </w:pPr>
      <w:rPr>
        <w:rFonts w:ascii="Calibri" w:eastAsia="Calibri" w:hAnsi="Calibri" w:hint="default"/>
      </w:rPr>
      <w:rPr>
        <w:b w:val="false"/>
        <w:color w:val="000000"/>
        <w:sz w:val="22"/>
      </w:rPr>
    </w:lvl>
    <w:lvl w:ilvl="7">
      <w:start w:val="0"/>
      <w:numFmt w:val="bullet"/>
      <w:lvlText w:val=""/>
      <w:pPr>
        <w:ind w:left="720" w:hanging="360"/>
      </w:pPr>
      <w:rPr>
        <w:rFonts w:ascii="Calibri" w:eastAsia="Calibri" w:hAnsi="Calibri" w:hint="default"/>
      </w:rPr>
      <w:rPr>
        <w:b w:val="false"/>
        <w:color w:val="000000"/>
        <w:sz w:val="22"/>
      </w:rPr>
    </w:lvl>
    <w:lvl w:ilvl="8">
      <w:start w:val="0"/>
      <w:numFmt w:val="bullet"/>
      <w:lvlText w:val=""/>
      <w:pPr>
        <w:ind w:left="720" w:hanging="360"/>
      </w:pPr>
      <w:rPr>
        <w:rFonts w:ascii="Calibri" w:eastAsia="Calibri" w:hAnsi="Calibri" w:hint="default"/>
      </w:rPr>
      <w:rPr>
        <w:b w:val="false"/>
        <w:color w:val="000000"/>
        <w:sz w:val="22"/>
      </w:rPr>
    </w:lvl>
  </w:abstractNum>
  <w:abstractNum w:abstractNumId="1">
    <w:nsid w:val="1"/>
    <w:multiLevelType w:val="hybridMultilevel"/>
    <w:tmpl w:val="1112696464"/>
    <w:lvl w:ilvl="0">
      <w:start w:val="1"/>
      <w:numFmt w:val="decimal"/>
      <w:lvlText w:val="%1."/>
      <w:pPr>
        <w:ind w:left="720" w:hanging="360"/>
      </w:pPr>
      <w:rPr>
        <w:rFonts w:ascii="Century Gothic" w:eastAsia="Century Gothic" w:hAnsi="Century Gothic" w:hint="default"/>
      </w:rPr>
      <w:rPr>
        <w:b w:val="false"/>
        <w:color w:val="000000"/>
      </w:rPr>
    </w:lvl>
    <w:lvl w:ilvl="1">
      <w:start w:val="1"/>
      <w:numFmt w:val="decimal"/>
      <w:lvlText w:val="%2."/>
      <w:pPr>
        <w:ind w:left="1440" w:hanging="360"/>
      </w:pPr>
      <w:rPr>
        <w:rFonts w:ascii="Century Gothic" w:eastAsia="Century Gothic" w:hAnsi="Century Gothic" w:hint="default"/>
      </w:rPr>
    </w:lvl>
    <w:lvl w:ilvl="2">
      <w:start w:val="1"/>
      <w:numFmt w:val="decimal"/>
      <w:lvlText w:val="%3."/>
      <w:pPr>
        <w:ind w:left="2160" w:hanging="180"/>
      </w:pPr>
      <w:rPr>
        <w:rFonts w:ascii="Century Gothic" w:eastAsia="Century Gothic" w:hAnsi="Century Gothic" w:hint="default"/>
      </w:rPr>
    </w:lvl>
    <w:lvl w:ilvl="3">
      <w:start w:val="1"/>
      <w:numFmt w:val="decimal"/>
      <w:lvlText w:val="%4."/>
      <w:pPr>
        <w:ind w:left="2880" w:hanging="360"/>
      </w:pPr>
      <w:rPr>
        <w:rFonts w:ascii="Century Gothic" w:eastAsia="Century Gothic" w:hAnsi="Century Gothic" w:hint="default"/>
      </w:rPr>
    </w:lvl>
    <w:lvl w:ilvl="4">
      <w:start w:val="1"/>
      <w:numFmt w:val="decimal"/>
      <w:lvlText w:val="%5."/>
      <w:pPr>
        <w:ind w:left="3600" w:hanging="360"/>
      </w:pPr>
      <w:rPr>
        <w:rFonts w:ascii="Century Gothic" w:eastAsia="Century Gothic" w:hAnsi="Century Gothic" w:hint="default"/>
      </w:rPr>
    </w:lvl>
    <w:lvl w:ilvl="5">
      <w:start w:val="1"/>
      <w:numFmt w:val="decimal"/>
      <w:lvlText w:val="%6."/>
      <w:pPr>
        <w:ind w:left="4320" w:hanging="180"/>
      </w:pPr>
      <w:rPr>
        <w:rFonts w:ascii="Century Gothic" w:eastAsia="Century Gothic" w:hAnsi="Century Gothic" w:hint="default"/>
      </w:rPr>
    </w:lvl>
    <w:lvl w:ilvl="6">
      <w:start w:val="1"/>
      <w:numFmt w:val="decimal"/>
      <w:lvlText w:val="%7."/>
      <w:pPr>
        <w:ind w:left="5040" w:hanging="360"/>
      </w:pPr>
      <w:rPr>
        <w:rFonts w:ascii="Century Gothic" w:eastAsia="Century Gothic" w:hAnsi="Century Gothic" w:hint="default"/>
      </w:rPr>
    </w:lvl>
    <w:lvl w:ilvl="7">
      <w:start w:val="1"/>
      <w:numFmt w:val="decimal"/>
      <w:lvlText w:val="%8."/>
      <w:pPr>
        <w:ind w:left="5760" w:hanging="360"/>
      </w:pPr>
      <w:rPr>
        <w:rFonts w:ascii="Century Gothic" w:eastAsia="Century Gothic" w:hAnsi="Century Gothic" w:hint="default"/>
      </w:rPr>
    </w:lvl>
    <w:lvl w:ilvl="8">
      <w:start w:val="1"/>
      <w:numFmt w:val="decimal"/>
      <w:lvlText w:val="%9."/>
      <w:pPr>
        <w:ind w:left="6480" w:hanging="180"/>
      </w:pPr>
      <w:rPr>
        <w:rFonts w:ascii="Century Gothic" w:eastAsia="Century Gothic" w:hAnsi="Century Gothic" w:hint="default"/>
      </w:rPr>
    </w:lvl>
  </w:abstractNum>
  <w:abstractNum w:abstractNumId="2">
    <w:nsid w:val="2"/>
    <w:multiLevelType w:val="hybridMultilevel"/>
    <w:tmpl w:val="2004463923"/>
    <w:lvl w:ilvl="0">
      <w:start w:val="0"/>
      <w:numFmt w:val="bullet"/>
      <w:lvlText w:val="•"/>
      <w:pPr>
        <w:ind w:left="723" w:hanging="36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1">
      <w:start w:val="0"/>
      <w:numFmt w:val="bullet"/>
      <w:lvlText w:val="•"/>
      <w:pPr>
        <w:ind w:left="723" w:hanging="36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2">
      <w:start w:val="0"/>
      <w:numFmt w:val="bullet"/>
      <w:lvlText w:val="•"/>
      <w:pPr>
        <w:ind w:left="723" w:hanging="36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3">
      <w:start w:val="0"/>
      <w:numFmt w:val="bullet"/>
      <w:lvlText w:val="•"/>
      <w:pPr>
        <w:ind w:left="723" w:hanging="36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4">
      <w:start w:val="0"/>
      <w:numFmt w:val="bullet"/>
      <w:lvlText w:val="•"/>
      <w:pPr>
        <w:ind w:left="723" w:hanging="36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5">
      <w:start w:val="0"/>
      <w:numFmt w:val="bullet"/>
      <w:lvlText w:val="•"/>
      <w:pPr>
        <w:ind w:left="723" w:hanging="36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6">
      <w:start w:val="0"/>
      <w:numFmt w:val="bullet"/>
      <w:lvlText w:val="•"/>
      <w:pPr>
        <w:ind w:left="723" w:hanging="36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7">
      <w:start w:val="0"/>
      <w:numFmt w:val="bullet"/>
      <w:lvlText w:val="•"/>
      <w:pPr>
        <w:ind w:left="723" w:hanging="36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8">
      <w:start w:val="0"/>
      <w:numFmt w:val="bullet"/>
      <w:lvlText w:val="•"/>
      <w:pPr>
        <w:ind w:left="723" w:hanging="36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</w:abstractNum>
  <w:abstractNum w:abstractNumId="3">
    <w:nsid w:val="3"/>
    <w:multiLevelType w:val="hybridMultilevel"/>
    <w:tmpl w:val="460190134"/>
    <w:lvl w:ilvl="0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1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2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3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4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5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6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7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8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</w:abstractNum>
  <w:abstractNum w:abstractNumId="4">
    <w:nsid w:val="4"/>
    <w:multiLevelType w:val="hybridMultilevel"/>
    <w:tmpl w:val="1420179943"/>
    <w:lvl w:ilvl="0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1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2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3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4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5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6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7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8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</w:abstractNum>
  <w:abstractNum w:abstractNumId="5">
    <w:nsid w:val="5"/>
    <w:multiLevelType w:val="hybridMultilevel"/>
    <w:tmpl w:val="1088052640"/>
    <w:lvl w:ilvl="0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1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2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3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4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5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6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7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8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</w:abstractNum>
  <w:abstractNum w:abstractNumId="6">
    <w:nsid w:val="6"/>
    <w:multiLevelType w:val="hybridMultilevel"/>
    <w:tmpl w:val="869095154"/>
    <w:lvl w:ilvl="0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1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2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3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4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5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6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7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8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</w:abstractNum>
  <w:abstractNum w:abstractNumId="7">
    <w:nsid w:val="7"/>
    <w:multiLevelType w:val="hybridMultilevel"/>
    <w:tmpl w:val="1217781513"/>
    <w:lvl w:ilvl="0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1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2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3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4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5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6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7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8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</w:abstractNum>
  <w:abstractNum w:abstractNumId="8">
    <w:nsid w:val="8"/>
    <w:multiLevelType w:val="hybridMultilevel"/>
    <w:tmpl w:val="294927741"/>
    <w:lvl w:ilvl="0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1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2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3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4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5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6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7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8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</w:abstractNum>
  <w:abstractNum w:abstractNumId="9">
    <w:nsid w:val="9"/>
    <w:multiLevelType w:val="hybridMultilevel"/>
    <w:tmpl w:val="1537515776"/>
    <w:lvl w:ilvl="0">
      <w:start w:val="0"/>
      <w:numFmt w:val="bullet"/>
      <w:lvlText w:val="•"/>
      <w:pPr>
        <w:ind w:left="1080" w:hanging="72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1">
      <w:start w:val="0"/>
      <w:numFmt w:val="bullet"/>
      <w:lvlText w:val="•"/>
      <w:pPr>
        <w:ind w:left="1080" w:hanging="72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2">
      <w:start w:val="0"/>
      <w:numFmt w:val="bullet"/>
      <w:lvlText w:val="•"/>
      <w:pPr>
        <w:ind w:left="1080" w:hanging="72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3">
      <w:start w:val="0"/>
      <w:numFmt w:val="bullet"/>
      <w:lvlText w:val="•"/>
      <w:pPr>
        <w:ind w:left="1080" w:hanging="72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4">
      <w:start w:val="0"/>
      <w:numFmt w:val="bullet"/>
      <w:lvlText w:val="•"/>
      <w:pPr>
        <w:ind w:left="1080" w:hanging="72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5">
      <w:start w:val="0"/>
      <w:numFmt w:val="bullet"/>
      <w:lvlText w:val="•"/>
      <w:pPr>
        <w:ind w:left="1080" w:hanging="72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6">
      <w:start w:val="0"/>
      <w:numFmt w:val="bullet"/>
      <w:lvlText w:val="•"/>
      <w:pPr>
        <w:ind w:left="1080" w:hanging="72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7">
      <w:start w:val="0"/>
      <w:numFmt w:val="bullet"/>
      <w:lvlText w:val="•"/>
      <w:pPr>
        <w:ind w:left="1080" w:hanging="72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  <w:lvl w:ilvl="8">
      <w:start w:val="0"/>
      <w:numFmt w:val="bullet"/>
      <w:lvlText w:val="•"/>
      <w:pPr>
        <w:ind w:left="1080" w:hanging="720"/>
      </w:pPr>
      <w:rPr>
        <w:rFonts w:ascii="Calibri" w:eastAsia="Century Gothic" w:hAnsi="Calibri" w:hint="default"/>
      </w:rPr>
      <w:rPr>
        <w:b w:val="false"/>
        <w:color w:val="000000"/>
        <w:sz w:val="22"/>
      </w:rPr>
    </w:lvl>
  </w:abstractNum>
  <w:abstractNum w:abstractNumId="10">
    <w:nsid w:val="10"/>
    <w:multiLevelType w:val="hybridMultilevel"/>
    <w:tmpl w:val="915809447"/>
    <w:lvl w:ilvl="0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1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2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3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4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5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6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7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  <w:lvl w:ilvl="8">
      <w:start w:val="0"/>
      <w:numFmt w:val="bullet"/>
      <w:lvlText w:val=""/>
      <w:pPr>
        <w:ind w:left="720" w:hanging="360"/>
      </w:pPr>
      <w:rPr>
        <w:rFonts w:ascii="Symbol" w:eastAsia="Century Gothic" w:hAnsi="Symbol" w:hint="default"/>
      </w:rPr>
      <w:rPr>
        <w:b w:val="false"/>
        <w:color w:val="000000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0">
    <w:name w:val="ParaAttribute0"/>
    <w:pPr>
      <w:spacing w:before="240" w:after="160"/>
      <w:jc w:val="center"/>
      <w:wordWrap w:val="false"/>
      <w:ind w:left="360" w:firstLine="0"/>
      <w:widowControl w:val="false"/>
      <w:rPr/>
    </w:pPr>
  </w:style>
  <w:style w:type="paragraph" w:customStyle="1" w:styleId="Para1">
    <w:name w:val="ParaAttribute1"/>
    <w:pPr>
      <w:jc w:val="left"/>
      <w:wordWrap w:val="false"/>
      <w:ind w:left="0"/>
      <w:widowControl w:val="false"/>
      <w:rPr/>
    </w:pPr>
  </w:style>
  <w:style w:type="paragraph" w:customStyle="1" w:styleId="Para2">
    <w:name w:val="ParaAttribute2"/>
    <w:pPr>
      <w:jc w:val="left"/>
      <w:wordWrap w:val="false"/>
      <w:ind w:left="720" w:hanging="360"/>
      <w:widowControl w:val="false"/>
      <w:rPr/>
    </w:pPr>
  </w:style>
  <w:style w:type="paragraph" w:customStyle="1" w:styleId="Para3">
    <w:name w:val="ParaAttribute3"/>
    <w:pPr>
      <w:spacing w:after="160"/>
      <w:jc w:val="left"/>
      <w:wordWrap w:val="false"/>
      <w:ind w:left="360" w:firstLine="0"/>
      <w:widowControl w:val="false"/>
      <w:rPr/>
    </w:pPr>
  </w:style>
  <w:style w:type="paragraph" w:customStyle="1" w:styleId="Para4">
    <w:name w:val="ParaAttribute4"/>
    <w:pPr>
      <w:spacing w:after="160"/>
      <w:jc w:val="left"/>
      <w:wordWrap w:val="false"/>
      <w:ind w:left="720" w:hanging="360"/>
      <w:widowControl w:val="false"/>
      <w:rPr/>
    </w:pPr>
  </w:style>
  <w:style w:type="paragraph" w:customStyle="1" w:styleId="Para5">
    <w:name w:val="ParaAttribute5"/>
    <w:pPr>
      <w:jc w:val="center"/>
      <w:wordWrap w:val="false"/>
      <w:ind w:left="0"/>
      <w:widowControl w:val="false"/>
      <w:rPr/>
    </w:pPr>
  </w:style>
  <w:style w:type="paragraph" w:customStyle="1" w:styleId="Para6">
    <w:name w:val="ParaAttribute6"/>
    <w:pPr>
      <w:jc w:val="left"/>
      <w:wordWrap w:val="false"/>
      <w:ind w:left="720" w:firstLine="0"/>
      <w:widowControl w:val="false"/>
      <w:rPr/>
    </w:pPr>
  </w:style>
  <w:style w:type="paragraph" w:customStyle="1" w:styleId="Para7">
    <w:name w:val="ParaAttribute7"/>
    <w:pPr>
      <w:jc w:val="both"/>
      <w:wordWrap w:val="false"/>
      <w:ind w:left="720" w:firstLine="0"/>
      <w:widowControl w:val="false"/>
      <w:rPr/>
    </w:pPr>
  </w:style>
  <w:style w:type="paragraph" w:customStyle="1" w:styleId="Para8">
    <w:name w:val="ParaAttribute8"/>
    <w:pPr>
      <w:jc w:val="both"/>
      <w:wordWrap w:val="false"/>
      <w:ind w:left="720" w:hanging="360"/>
      <w:widowControl w:val="false"/>
      <w:rPr/>
    </w:pPr>
  </w:style>
  <w:style w:type="paragraph" w:customStyle="1" w:styleId="Para9">
    <w:name w:val="ParaAttribute9"/>
    <w:pPr>
      <w:jc w:val="both"/>
      <w:wordWrap w:val="false"/>
      <w:ind w:left="1025" w:hanging="283"/>
      <w:widowControl w:val="false"/>
      <w:rPr/>
    </w:pPr>
  </w:style>
  <w:style w:type="paragraph" w:customStyle="1" w:styleId="Para10">
    <w:name w:val="ParaAttribute10"/>
    <w:pPr>
      <w:jc w:val="both"/>
      <w:wordWrap w:val="false"/>
      <w:ind w:left="714" w:hanging="357"/>
      <w:widowControl w:val="false"/>
      <w:rPr/>
    </w:pPr>
  </w:style>
  <w:style w:type="paragraph" w:customStyle="1" w:styleId="Para11">
    <w:name w:val="ParaAttribute11"/>
    <w:pPr>
      <w:jc w:val="both"/>
      <w:wordWrap w:val="false"/>
      <w:ind w:left="714" w:firstLine="0"/>
      <w:widowControl w:val="false"/>
      <w:rPr/>
    </w:pPr>
  </w:style>
  <w:style w:type="paragraph" w:customStyle="1" w:styleId="Para12">
    <w:name w:val="ParaAttribute12"/>
    <w:pPr>
      <w:jc w:val="both"/>
      <w:wordWrap w:val="false"/>
      <w:ind w:left="0"/>
      <w:widowControl w:val="false"/>
      <w:rPr/>
    </w:pPr>
  </w:style>
  <w:style w:type="paragraph" w:customStyle="1" w:styleId="Para13">
    <w:name w:val="ParaAttribute13"/>
    <w:pPr>
      <w:spacing w:after="160"/>
      <w:jc w:val="left"/>
      <w:wordWrap w:val="false"/>
      <w:ind w:left="0"/>
      <w:widowControl w:val="false"/>
      <w:rPr/>
    </w:pPr>
  </w:style>
  <w:style w:type="paragraph" w:customStyle="1" w:styleId="Para14">
    <w:name w:val="ParaAttribute14"/>
    <w:pPr>
      <w:jc w:val="left"/>
      <w:wordWrap w:val="false"/>
      <w:ind w:left="714" w:hanging="357"/>
      <w:widowControl w:val="false"/>
      <w:rPr/>
    </w:pPr>
  </w:style>
  <w:style w:type="paragraph" w:customStyle="1" w:styleId="Para15">
    <w:name w:val="ParaAttribute15"/>
    <w:pPr>
      <w:jc w:val="left"/>
      <w:wordWrap w:val="false"/>
      <w:ind w:left="714" w:firstLine="0"/>
      <w:widowControl w:val="false"/>
      <w:rPr/>
    </w:pPr>
  </w:style>
  <w:style w:type="paragraph" w:customStyle="1" w:styleId="Para16">
    <w:name w:val="ParaAttribute16"/>
    <w:pPr>
      <w:jc w:val="both"/>
      <w:wordWrap w:val="false"/>
      <w:ind w:left="709" w:hanging="352"/>
      <w:widowControl w:val="false"/>
      <w:rPr/>
    </w:pPr>
  </w:style>
  <w:style w:type="paragraph" w:customStyle="1" w:styleId="Para17">
    <w:name w:val="ParaAttribute17"/>
    <w:pPr>
      <w:jc w:val="both"/>
      <w:wordWrap w:val="false"/>
      <w:ind w:left="360" w:firstLine="0"/>
      <w:widowControl w:val="false"/>
      <w:rPr/>
    </w:pPr>
  </w:style>
  <w:style w:type="paragraph" w:customStyle="1" w:styleId="Para18">
    <w:name w:val="ParaAttribute18"/>
    <w:pPr>
      <w:spacing w:before="240" w:after="160"/>
      <w:jc w:val="left"/>
      <w:wordWrap w:val="false"/>
      <w:ind w:left="0"/>
      <w:widowControl w:val="false"/>
      <w:rPr/>
    </w:pPr>
  </w:style>
  <w:style w:type="paragraph" w:customStyle="1" w:styleId="Para19">
    <w:name w:val="ParaAttribute19"/>
    <w:pPr>
      <w:spacing w:after="200"/>
      <w:jc w:val="left"/>
      <w:wordWrap w:val="false"/>
      <w:ind w:left="0"/>
      <w:widowControl w:val="false"/>
      <w:rPr/>
    </w:pPr>
  </w:style>
  <w:style w:type="character" w:customStyle="1" w:styleId="Character0">
    <w:name w:val="CharAttribute0"/>
    <w:rPr>
      <w:rFonts w:ascii="Century Gothic" w:eastAsia="Century Gothic" w:hAnsi="Century Gothic"/>
      <w:b/>
      <w:sz w:val="22"/>
    </w:rPr>
  </w:style>
  <w:style w:type="character" w:customStyle="1" w:styleId="Character1">
    <w:name w:val="CharAttribute1"/>
    <w:rPr>
      <w:rFonts w:ascii="Century Gothic" w:eastAsia="Century Gothic" w:hAnsi="Century Gothic"/>
      <w:sz w:val="22"/>
    </w:rPr>
  </w:style>
  <w:style w:type="character" w:customStyle="1" w:styleId="Character2">
    <w:name w:val="CharAttribute2"/>
    <w:rPr>
      <w:rFonts w:ascii="Calibri" w:eastAsia="Calibri" w:hAnsi="Calibri"/>
      <w:sz w:val="22"/>
    </w:rPr>
  </w:style>
  <w:style w:type="character" w:customStyle="1" w:styleId="Character3">
    <w:name w:val="CharAttribute3"/>
    <w:rPr>
      <w:rFonts w:ascii="Calibri" w:eastAsia="Calibri" w:hAnsi="Calibri"/>
      <w:sz w:val="22"/>
    </w:rPr>
  </w:style>
  <w:style w:type="character" w:customStyle="1" w:styleId="Character4">
    <w:name w:val="CharAttribute4"/>
    <w:rPr>
      <w:rFonts w:ascii="Century Gothic" w:eastAsia="Century Gothic" w:hAnsi="Century Gothic"/>
      <w:sz w:val="22"/>
    </w:rPr>
  </w:style>
  <w:style w:type="character" w:customStyle="1" w:styleId="Character5">
    <w:name w:val="CharAttribute5"/>
    <w:rPr>
      <w:rFonts w:ascii="Century Gothic" w:eastAsia="Century Gothic" w:hAnsi="Century Gothic"/>
      <w:sz w:val="22"/>
    </w:rPr>
  </w:style>
  <w:style w:type="character" w:customStyle="1" w:styleId="Character6">
    <w:name w:val="CharAttribute6"/>
    <w:rPr>
      <w:rFonts w:ascii="Century Gothic" w:eastAsia="Century Gothic" w:hAnsi="Century Gothic"/>
      <w:u w:val="single"/>
      <w:sz w:val="22"/>
    </w:rPr>
  </w:style>
  <w:style w:type="character" w:customStyle="1" w:styleId="Character7">
    <w:name w:val="CharAttribute7"/>
    <w:rPr>
      <w:rFonts w:ascii="Calibri" w:eastAsia="Century Gothic" w:hAnsi="Century Gothic"/>
      <w:sz w:val="22"/>
    </w:rPr>
  </w:style>
  <w:style w:type="character" w:customStyle="1" w:styleId="Character8">
    <w:name w:val="CharAttribute8"/>
    <w:rPr>
      <w:rFonts w:ascii="Calibri" w:eastAsia="Century Gothic" w:hAnsi="Century Gothic"/>
      <w:sz w:val="22"/>
    </w:rPr>
  </w:style>
  <w:style w:type="character" w:customStyle="1" w:styleId="Character9">
    <w:name w:val="CharAttribute9"/>
    <w:rPr>
      <w:rFonts w:ascii="Symbol" w:eastAsia="Century Gothic" w:hAnsi="Century Gothic"/>
      <w:sz w:val="22"/>
    </w:rPr>
  </w:style>
  <w:style w:type="character" w:customStyle="1" w:styleId="Character10">
    <w:name w:val="CharAttribute10"/>
    <w:rPr>
      <w:rFonts w:ascii="Symbol" w:eastAsia="Century Gothic" w:hAnsi="Century Gothic"/>
      <w:sz w:val="22"/>
    </w:rPr>
  </w:style>
  <w:style w:type="character" w:customStyle="1" w:styleId="Character11">
    <w:name w:val="CharAttribute11"/>
    <w:rPr>
      <w:rFonts w:ascii="Century Gothic" w:eastAsia="Century Gothic" w:hAnsi="Century Gothic"/>
      <w:b/>
      <w:sz w:val="22"/>
    </w:rPr>
  </w:style>
  <w:style w:type="character" w:customStyle="1" w:styleId="Character12">
    <w:name w:val="CharAttribute12"/>
    <w:rPr>
      <w:rFonts w:ascii="Century Gothic" w:eastAsia="Century Gothic" w:hAnsi="Century Gothic"/>
      <w:b/>
      <w:sz w:val="22"/>
    </w:rPr>
  </w:style>
  <w:style w:type="character" w:customStyle="1" w:styleId="Character13">
    <w:name w:val="CharAttribute13"/>
    <w:rPr>
      <w:rFonts w:ascii="Century Gothic" w:eastAsia="Century Gothic" w:hAnsi="Century Gothic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image" Target="media/image1.png"></Relationship><Relationship Id="rId7" Type="http://schemas.openxmlformats.org/officeDocument/2006/relationships/image" Target="media/image2.jpeg"></Relationship><Relationship Id="rId8" Type="http://schemas.openxmlformats.org/officeDocument/2006/relationships/image" Target="media/image3.jpeg"></Relationship><Relationship Id="rId9" Type="http://schemas.openxmlformats.org/officeDocument/2006/relationships/image" Target="media/image4.jpeg"></Relationship><Relationship Id="rId10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0</Words>
  <Characters>0</Characters>
  <Lines>1</Lines>
  <Paragraphs>1</Paragraph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INFRAWARE, Inc.</Company>
  <LinksUpToDate>false</LinksUpToDate>
  <CharactersWithSpaces>0</CharactersWithSpaces>
  <SharedDoc>false</SharedDoc>
  <HyperlinksChanged>false</HyperlinksChanged>
  <Application>Polaris Office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revision>2</cp:revision>
  <dcterms:created xsi:type="dcterms:W3CDTF">2010-06-21T07:17:39Z</dcterms:created>
  <dcterms:modified xsi:type="dcterms:W3CDTF">2010-06-21T07:17:39Z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